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obtaining a occupational license while incarcerated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51.357,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 an alternative to denying, revoking, suspending, or refusing to issue or renew a license under Section 51.356 or 51.4012(a) or Chapter 53, the commission or executive director may issue a restricted license to an applicant, </w:t>
      </w:r>
      <w:r>
        <w:rPr>
          <w:u w:val="single"/>
        </w:rPr>
        <w:t xml:space="preserve">including an applicant incarcerated in the Texas Department of Criminal Justice, for a license under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1302;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Chapter 1305.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impose reasonable conditions on a holder of a restricted license, including requiring the license holder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limit the scope or location of the license holder's practice;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supervised;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report to the department, including notifying the department promptly of any change in the license holder's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on the face of a license and in the department's records a statement: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the license is restricted;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of any condition of the restricted license;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 a distinctive design for a restricted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license holder who supervises the holder of a restricted license shall use reasonable care to ensure that the license holder complies with any condition imposed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or executive director may impose an administrative penalty or other sanction on the holder of a restricted license or on a license holder who supervises the person for a violation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