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4216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Medicaid managed care accreditation.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533.0031,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award a managed care organization a contract to provide services under the state's Medicaid Managed Care Program unless that managed care organization has been accredited or has initiated the process of becoming accredited by a nationally recognized accrediting organization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required by no fewer than ten state Medicaid programs as a sole accreditor;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distinguishes managed care organizations for the integration of long-term services and supports;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distinguishes managed care organizations for their ability to provide culturally and linguistically sensitive services, and work to reduce health care disparities.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Changes made by this Act apply only to a contract awarded by the Health and Human Services Commission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