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87R18729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4218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4218:</w:t>
      </w: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C.S.H.B.</w:t>
      </w:r>
      <w:r xml:space="preserve">
        <w:t> </w:t>
      </w:r>
      <w:r>
        <w:t xml:space="preserve">No.</w:t>
      </w:r>
      <w:r xml:space="preserve">
        <w:t> </w:t>
      </w:r>
      <w:r>
        <w:t xml:space="preserve">4218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cause of action for the bad faith washout of an overriding royalty interest in an oil and gas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BAD FAITH WASHOUT OF OVERRIDING ROYALTY INTEREST IN OIL AND GAS 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"Bad faith"</w:t>
      </w:r>
      <w:r>
        <w:rPr>
          <w:u w:val="single"/>
        </w:rPr>
        <w:t xml:space="preserve"> </w:t>
      </w:r>
      <w:r>
        <w:rPr>
          <w:u w:val="single"/>
        </w:rPr>
        <w:t xml:space="preserve"> </w:t>
      </w:r>
      <w:r>
        <w:rPr>
          <w:u w:val="single"/>
        </w:rPr>
        <w:t xml:space="preserve">means the conscious taking of action for the purpose of washing out all or part of an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CAUSE OF ACTION FOR BAD FAITH WASHOUT.  A person may bring a cause of action for a bad faith washout of the person's overriding royalty interest in an oil and gas lease.  The person is entitled to a remedy under this chapter if the person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owned or had a legal right to the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had control over the oil and gas lease burdened by the overriding royalty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caused a washout of the person's overriding royalty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acted in bad faith by knowingly or intentionally causing the washout.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VENUE.  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REMEDIES; COSTS AND FEES.  (a)  An owner of an overriding royalty interest who prevails in an action under this chapter may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remedies provided by this chapter are cumulative of other remedies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LIMITATION ON FILING ACTION.  A person must bring an action under this chapter not later than the second anniversary of the date the person obtained actual knowledge that the washout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washout that occurs on or after the effective date of this Act.  A washout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