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87R12075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4226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statewide plan for student mental health.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38.254, Education Code, is amended by adding Subsection (b-1)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developing the agency's goals under Subsection (a)(4) or the agency's recommendations under Subsection (a)(6) for a year before 2026, the agency shall consult with the Collaborative Task Force on Public School Mental Health Services established under Section 38.302 in addition to the persons the agency is required to consult with under Subsection (b). </w:t>
      </w:r>
      <w:r>
        <w:rPr>
          <w:u w:val="single"/>
        </w:rPr>
        <w:t xml:space="preserve"> </w:t>
      </w:r>
      <w:r>
        <w:rPr>
          <w:u w:val="single"/>
        </w:rPr>
        <w:t xml:space="preserve">This subsection expires December 1, 2025.</w:t>
      </w:r>
    </w:p>
    <w:p w:rsidR="003F3435" w:rsidRDefault="0032493E">
      <w:pPr>
        <w:spacing w:line="480" w:lineRule="auto"/>
        <w:ind w:firstLine="720"/>
        <w:jc w:val="both"/>
      </w:pPr>
      <w:r>
        <w:t xml:space="preserve">(d)</w:t>
      </w:r>
      <w:r xml:space="preserve">
        <w:t> </w:t>
      </w:r>
      <w:r xml:space="preserve">
        <w:t> </w:t>
      </w:r>
      <w:r>
        <w:t xml:space="preserve">As soon as practicable after completing or revising the plan, the agency shall:</w:t>
      </w:r>
    </w:p>
    <w:p w:rsidR="003F3435" w:rsidRDefault="0032493E">
      <w:pPr>
        <w:spacing w:line="480" w:lineRule="auto"/>
        <w:ind w:firstLine="1440"/>
        <w:jc w:val="both"/>
      </w:pPr>
      <w:r>
        <w:t xml:space="preserve">(1)</w:t>
      </w:r>
      <w:r xml:space="preserve">
        <w:t> </w:t>
      </w:r>
      <w:r xml:space="preserve">
        <w:t> </w:t>
      </w:r>
      <w:r>
        <w:t xml:space="preserve">submit an electronic copy of the plan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to the legislature;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the statewide behavioral health coordinating council established under Subchapter M-1, Chapter 531, Government Code;</w:t>
      </w:r>
    </w:p>
    <w:p w:rsidR="003F3435" w:rsidRDefault="0032493E">
      <w:pPr>
        <w:spacing w:line="480" w:lineRule="auto"/>
        <w:ind w:firstLine="1440"/>
        <w:jc w:val="both"/>
      </w:pPr>
      <w:r>
        <w:t xml:space="preserve">(2)</w:t>
      </w:r>
      <w:r xml:space="preserve">
        <w:t> </w:t>
      </w:r>
      <w:r xml:space="preserve">
        <w:t> </w:t>
      </w:r>
      <w:r>
        <w:t xml:space="preserve">post the plan on the agency's Internet website; and</w:t>
      </w:r>
    </w:p>
    <w:p w:rsidR="003F3435" w:rsidRDefault="0032493E">
      <w:pPr>
        <w:spacing w:line="480" w:lineRule="auto"/>
        <w:ind w:firstLine="1440"/>
        <w:jc w:val="both"/>
      </w:pPr>
      <w:r>
        <w:t xml:space="preserve">(3)</w:t>
      </w:r>
      <w:r xml:space="preserve">
        <w:t> </w:t>
      </w:r>
      <w:r xml:space="preserve">
        <w:t> </w:t>
      </w:r>
      <w:r>
        <w:t xml:space="preserve">hold public meetings in each regional education service center's region to present the statewide plan and shall provide an opportunity for public comment at each meeting.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