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competitive sealed proposals for certain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252.043(d-1), Local Government Code, is amended to read as follows:</w:t>
      </w:r>
    </w:p>
    <w:p w:rsidR="003F3435" w:rsidRDefault="0032493E">
      <w:pPr>
        <w:spacing w:line="480" w:lineRule="auto"/>
        <w:ind w:firstLine="720"/>
        <w:jc w:val="both"/>
      </w:pPr>
      <w:r>
        <w:t xml:space="preserve">(d-1)</w:t>
      </w:r>
      <w:r xml:space="preserve">
        <w:t> </w:t>
      </w:r>
      <w:r xml:space="preserve">
        <w:t> </w:t>
      </w:r>
      <w:r>
        <w:t xml:space="preserve">A contract for construction of a project described by Subsection (d) that requires an expenditure of </w:t>
      </w:r>
      <w:r>
        <w:rPr>
          <w:strike/>
        </w:rPr>
        <w:t xml:space="preserve">$1.5 million</w:t>
      </w:r>
      <w:r>
        <w:t xml:space="preserve"> </w:t>
      </w:r>
      <w:r>
        <w:rPr>
          <w:u w:val="single"/>
        </w:rPr>
        <w:t xml:space="preserve">$5 million</w:t>
      </w:r>
      <w:r>
        <w:t xml:space="preserve"> or less may be awarded using the competitive sealed proposal procedure prescribed by Subchapter D, Chapter 2269,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for the procurement of goods and services for which the solicitation of bids or proposals, request for proposals, or similar required notification as to the goods or services is published on or after September 1, 2021. A contract for which the required notification is published before September 1, 2021, is governed by the law in effect on the date the notification was published,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