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87R12279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regional electric network overview produced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Utilities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ANNUAL INDUSTRY OVERVIEW.  (a)  The commission shall produce and submit to each standing committee of the legislature having primary jurisdiction over matters related to electric utilities an annual report for each state fiscal year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assesses the operations and integrity of the regional electric network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anticipates potential issues facing the industry in the coming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the overview under Subsection (a)(1), the commission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strengths and weaknesses of the regional electric network;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any significant events or challenges experienced or vulnerabilities in the regional electric network that were exposed;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in the supply of and demand for electricity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providing a projection for the coming fiscal year under Subsection (a)(2) the commission shall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 changes and wear and tear on equipment used to provide electricity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effects of population growth on the regional electric network.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