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transaction of business by the Court of Appeals for the Eleventh Court of Appeals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22.212, Government Code, is amended by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court may transact its business </w:t>
      </w:r>
      <w:r>
        <w:rPr>
          <w:strike/>
        </w:rPr>
        <w:t xml:space="preserve">in the City of Eastland or</w:t>
      </w:r>
      <w:r>
        <w:t xml:space="preserve"> in any county in the district </w:t>
      </w:r>
      <w:r>
        <w:rPr>
          <w:strike/>
        </w:rPr>
        <w:t xml:space="preserve">as the court determines is necessary or convenient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