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87R10171 JSC-D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Raymond, Middleton, Swanson, Ramos,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4240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Talarico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local regulation to enforce child custody orders; authorizing a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157, Family Code, is amended by adding Subchapter J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J.  LOCAL REGULATION AND ENFORCEMENT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157.451.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PENALTY FOR INTERFERENCE WITH CHILD CUSTODY ORDER.  A municipality or county in this state may adopt an ordinance or order that imposes a civil penalty of not more than $500 for engaging in conduct described by Section 25.03, Penal Code.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4240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