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87R12053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eliminating reporting requirements for public institutions of higher education and the requirement for a plan by certain school districts to increase enrollment in public institutions of higher educations.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61, Education Code, is amended by adding Section 61.0341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DATA COLLECTION AND REPORTING REQUIREMENTS.  (a) </w:t>
      </w:r>
      <w:r>
        <w:rPr>
          <w:u w:val="single"/>
        </w:rPr>
        <w:t xml:space="preserve"> </w:t>
      </w:r>
      <w:r>
        <w:rPr>
          <w:u w:val="single"/>
        </w:rPr>
        <w:t xml:space="preserve">The legislature finds that data collection and reporting requirements for institutions of higher education must be limited and reduced to the extent feasible.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commissioner of higher education determines that the board has access to an alternative means of collecting data or receiving information to be included in a report sufficient to fulfill a requirement under this code, the board by rule may eliminate the reporting requirement for that data or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Education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29.904;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51.4031.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