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87R11798 MCF-D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Morales Shaw</w:t>
      </w:r>
      <w:r xml:space="preserve">
        <w:tab wTab="150" tlc="none" cTlc="0"/>
      </w:r>
      <w:r>
        <w:t xml:space="preserve">H.B.</w:t>
      </w:r>
      <w:r xml:space="preserve">
        <w:t> </w:t>
      </w:r>
      <w:r>
        <w:t xml:space="preserve">No.</w:t>
      </w:r>
      <w:r xml:space="preserve">
        <w:t> </w:t>
      </w:r>
      <w:r>
        <w:t xml:space="preserve">4254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criminal offense committed against a person because of bias or prejudice on the basis of gender identity or expression.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the Monica Roberts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Articles 42.014(a) and (c),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In the trial of an offense under Title 5, Penal Code, or Section 28.02, 28.03, or 28.08, Penal Code, the judge shall make an affirmative finding of fact and enter the affirmative finding in the judgment of the case if at the guilt or innocence phase of the trial, the judge or the jury, whichever is the trier of fact, determines beyond a reasonable doubt that the defendant intentionally selected the person against whom the offense was committed, or intentionally selected the person's property that was damaged or affected as a result of the offense, because of the defendant's bias or prejudice against a group identified by race, color, disability, religion, national origin or ancestry, age, gender, [</w:t>
      </w:r>
      <w:r>
        <w:rPr>
          <w:strike/>
        </w:rPr>
        <w:t xml:space="preserve">or</w:t>
      </w:r>
      <w:r>
        <w:t xml:space="preserve">] sexual preference</w:t>
      </w:r>
      <w:r>
        <w:rPr>
          <w:u w:val="single"/>
        </w:rPr>
        <w:t xml:space="preserve">, or gender identity or expression</w:t>
      </w:r>
      <w:r>
        <w:t xml:space="preserve"> or by status as a peace officer or judge.</w:t>
      </w:r>
    </w:p>
    <w:p w:rsidR="003F3435" w:rsidRDefault="0032493E">
      <w:pPr>
        <w:spacing w:line="480" w:lineRule="auto"/>
        <w:ind w:firstLine="720"/>
        <w:jc w:val="both"/>
      </w:pPr>
      <w:r>
        <w:t xml:space="preserve">(c)</w:t>
      </w:r>
      <w:r xml:space="preserve">
        <w:t> </w:t>
      </w:r>
      <w:r xml:space="preserve">
        <w:t> </w:t>
      </w:r>
      <w:r>
        <w:t xml:space="preserve">In this article</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"Gender identity or expression" means having or being perceived as having a gender-related identity, appearance, expression, or behavior, regardless of whether that identity, appearance, expression, or behavior is different from that commonly associated with the person's actual or perceived sex. </w:t>
      </w:r>
      <w:r>
        <w:rPr>
          <w:u w:val="single"/>
        </w:rPr>
        <w:t xml:space="preserve"> </w:t>
      </w:r>
      <w:r>
        <w:rPr>
          <w:u w:val="single"/>
        </w:rPr>
        <w:t xml:space="preserve">The term includes being or being perceived as being transgender.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"Sexual</w:t>
      </w:r>
      <w:r>
        <w:t xml:space="preserve"> [</w:t>
      </w:r>
      <w:r>
        <w:rPr>
          <w:strike/>
        </w:rPr>
        <w:t xml:space="preserve">, "sexual</w:t>
      </w:r>
      <w:r>
        <w:t xml:space="preserve">] preference" has the following meaning only:  a preference for heterosexuality, homosexuality, or bisexuality.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