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87R17842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4257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4257: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trauma-informed care policy for school districts and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38.036(b),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using resources developed by the agency, methods for:</w:t>
      </w:r>
    </w:p>
    <w:p w:rsidR="003F3435" w:rsidRDefault="0032493E">
      <w:pPr>
        <w:spacing w:line="480" w:lineRule="auto"/>
        <w:ind w:firstLine="2160"/>
        <w:jc w:val="both"/>
      </w:pPr>
      <w:r>
        <w:t xml:space="preserve">(A)</w:t>
      </w:r>
      <w:r xml:space="preserve">
        <w:t> </w:t>
      </w:r>
      <w:r xml:space="preserve">
        <w:t> </w:t>
      </w:r>
      <w:r>
        <w:t xml:space="preserve">increasing staff and parent awareness of trauma-informed care; and</w:t>
      </w:r>
    </w:p>
    <w:p w:rsidR="003F3435" w:rsidRDefault="0032493E">
      <w:pPr>
        <w:spacing w:line="480" w:lineRule="auto"/>
        <w:ind w:firstLine="2160"/>
        <w:jc w:val="both"/>
      </w:pPr>
      <w:r>
        <w:t xml:space="preserve">(B)</w:t>
      </w:r>
      <w:r xml:space="preserve">
        <w:t> </w:t>
      </w:r>
      <w:r xml:space="preserve">
        <w:t> </w:t>
      </w:r>
      <w:r>
        <w:t xml:space="preserve">implementation of trauma-informed practices and care by district and campus staff;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available counseling options for students affected by trauma or grief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plan for providing support to students, teachers, and district staff in the event of a crisis, including through methods such as psychological first aid and referrals to district mental health professionals, if available, and community providers for mental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