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87R11742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trauma-informed care policy for school districts and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38.036(b),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policy required by this section must address: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using resources developed by the agency, methods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increasing staff and parent awareness of trauma-informed care;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implementation of trauma-informed practices and care by district and campus staff;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available counseling options for students affected by trauma or grief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district's plan for providing support to students, teachers, and district staff in the event of a crisis, including through methods such as mental health first aid and referrals to community providers for mental health services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