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87R10745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University of Houston on the expected effects of future climate change in this state and the preparedness of this state to address those effects.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STUDY AND REPORT.  (a)  The board of regents of the University of Houston System shall designate a department or entity at the University of Houston to conduct a study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expected effects of future climate change in this state,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expected economic ramifications of climate change;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expected effects on agriculture and other industries of this state that are vulnerable to climate change;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expected increase in droughts, natural disasters, and other environmental conditions resulting from climate change;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preparedness of this state to identify, minimize, and mitigate the expected effects described by Subdivision (1)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2022, the University of Houston shall submit to the governor, the lieutenant governor, and each member of the legislature a report containing the results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EXPIRATION DATE.  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