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87R11234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Shaw</w:t>
      </w:r>
      <w:r xml:space="preserve">
        <w:tab wTab="150" tlc="none" cTlc="0"/>
      </w:r>
      <w:r>
        <w:t xml:space="preserve">H.B.</w:t>
      </w:r>
      <w:r xml:space="preserve">
        <w:t> </w:t>
      </w:r>
      <w:r>
        <w:t xml:space="preserve">No.</w:t>
      </w:r>
      <w:r xml:space="preserve">
        <w:t> </w:t>
      </w:r>
      <w:r>
        <w:t xml:space="preserve">4259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information regarding firearm violence and suicide prevention.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411.185(d),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Not later than the 60th day before the expiration date of the license, the department shall mail to each license holder a written notice of the expiration of the license, a renewal application form, [</w:t>
      </w:r>
      <w:r>
        <w:rPr>
          <w:strike/>
        </w:rPr>
        <w:t xml:space="preserve">and</w:t>
      </w:r>
      <w:r>
        <w:t xml:space="preserve">] the informational form described by Subsection (c)</w:t>
      </w:r>
      <w:r>
        <w:rPr>
          <w:u w:val="single"/>
        </w:rPr>
        <w:t xml:space="preserve">, and the brochure described by Section 411.222(a)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411.188(b),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Only qualified handgun instructors may administer the range instruction part of the handgun proficiency course. A qualified handgun instructor or approved online course provider may administer the classroom instruction part of the handgun proficiency course. The classroom instruction part of the course must include not less than four hours and not more than six hours of instruction on:</w:t>
      </w:r>
    </w:p>
    <w:p w:rsidR="003F3435" w:rsidRDefault="0032493E">
      <w:pPr>
        <w:spacing w:line="480" w:lineRule="auto"/>
        <w:ind w:firstLine="1440"/>
        <w:jc w:val="both"/>
      </w:pPr>
      <w:r>
        <w:t xml:space="preserve">(1)</w:t>
      </w:r>
      <w:r xml:space="preserve">
        <w:t> </w:t>
      </w:r>
      <w:r xml:space="preserve">
        <w:t> </w:t>
      </w:r>
      <w:r>
        <w:t xml:space="preserve">the laws that relate to weapons and to the use of deadly force;</w:t>
      </w:r>
    </w:p>
    <w:p w:rsidR="003F3435" w:rsidRDefault="0032493E">
      <w:pPr>
        <w:spacing w:line="480" w:lineRule="auto"/>
        <w:ind w:firstLine="1440"/>
        <w:jc w:val="both"/>
      </w:pPr>
      <w:r>
        <w:t xml:space="preserve">(2)</w:t>
      </w:r>
      <w:r xml:space="preserve">
        <w:t> </w:t>
      </w:r>
      <w:r xml:space="preserve">
        <w:t> </w:t>
      </w:r>
      <w:r>
        <w:t xml:space="preserve">handgun use and safety, including use of restraint holsters and methods to ensure the secure carrying of openly carried handguns;</w:t>
      </w:r>
    </w:p>
    <w:p w:rsidR="003F3435" w:rsidRDefault="0032493E">
      <w:pPr>
        <w:spacing w:line="480" w:lineRule="auto"/>
        <w:ind w:firstLine="1440"/>
        <w:jc w:val="both"/>
      </w:pPr>
      <w:r>
        <w:t xml:space="preserve">(3)</w:t>
      </w:r>
      <w:r xml:space="preserve">
        <w:t> </w:t>
      </w:r>
      <w:r xml:space="preserve">
        <w:t> </w:t>
      </w:r>
      <w:r>
        <w:t xml:space="preserve">nonviolent dispute resolution;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proper storage practices for handguns with an emphasis on storage practices that eliminate the possibility of accidental injury to a child</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information covered in the brochure described by Section 411.222(a)</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411, Government Code, is amended by adding Subchapter H-1 to read as follows:</w:t>
      </w:r>
    </w:p>
    <w:p w:rsidR="003F3435" w:rsidRDefault="0032493E">
      <w:pPr>
        <w:spacing w:line="480" w:lineRule="auto"/>
        <w:jc w:val="center"/>
      </w:pPr>
      <w:r>
        <w:rPr>
          <w:u w:val="single"/>
        </w:rPr>
        <w:t xml:space="preserve">SUBCHAPTER H-1. </w:t>
      </w:r>
      <w:r>
        <w:rPr>
          <w:u w:val="single"/>
        </w:rPr>
        <w:t xml:space="preserve"> </w:t>
      </w:r>
      <w:r>
        <w:rPr>
          <w:u w:val="single"/>
        </w:rPr>
        <w:t xml:space="preserve">REQUIREMENTS FOR CERTAIN FIREARM TRANSFERS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411.221.</w:t>
      </w:r>
      <w:r>
        <w:rPr>
          <w:u w:val="single"/>
        </w:rPr>
        <w:t xml:space="preserve"> </w:t>
      </w:r>
      <w:r>
        <w:rPr>
          <w:u w:val="single"/>
        </w:rPr>
        <w:t xml:space="preserve"> </w:t>
      </w:r>
      <w:r>
        <w:rPr>
          <w:u w:val="single"/>
        </w:rPr>
        <w:t xml:space="preserve">DEFINITION.  In this subchapter, "licensed firearms dealer" means a person who is licensed as a firearms dealer under 18 U.S.C. Section 923.</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411.222.</w:t>
      </w:r>
      <w:r>
        <w:rPr>
          <w:u w:val="single"/>
        </w:rPr>
        <w:t xml:space="preserve"> </w:t>
      </w:r>
      <w:r>
        <w:rPr>
          <w:u w:val="single"/>
        </w:rPr>
        <w:t xml:space="preserve"> </w:t>
      </w:r>
      <w:r>
        <w:rPr>
          <w:u w:val="single"/>
        </w:rPr>
        <w:t xml:space="preserve">FIREARM VIOLENCE AND SUICIDE PREVENTION INFORMATION.  (a) The department shall post on the department's Internet website a printable brochure, developed in cooperation with the Health and Human Services Commission, that includes the following firearm violence and suicide prevention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statistics regarding victims of firearm violence;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warning signs that a person is at risk of suicide;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suicide prevention;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state agencies that provide mental health and suicide prevention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phone number for the National Suicide Prevention Lifeline.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October 1 of each year, the department shall update the brochure required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411.223.</w:t>
      </w:r>
      <w:r>
        <w:rPr>
          <w:u w:val="single"/>
        </w:rPr>
        <w:t xml:space="preserve"> </w:t>
      </w:r>
      <w:r>
        <w:rPr>
          <w:u w:val="single"/>
        </w:rPr>
        <w:t xml:space="preserve"> </w:t>
      </w:r>
      <w:r>
        <w:rPr>
          <w:u w:val="single"/>
        </w:rPr>
        <w:t xml:space="preserve">REQUIREMENTS FOR CERTAIN FIREARM TRANSFERS.  (a) </w:t>
      </w:r>
      <w:r>
        <w:rPr>
          <w:u w:val="single"/>
        </w:rPr>
        <w:t xml:space="preserve"> </w:t>
      </w:r>
      <w:r>
        <w:rPr>
          <w:u w:val="single"/>
        </w:rPr>
        <w:t xml:space="preserve">Except as provided by Subsection (b), a licensed firearms dealer may not sell or transfer a firearm to another person unless, at the time of the sale or transfer, the dealer provides a copy of the brochure described by Section 411.222(a) to the person to whom the firearm is being sold or transferred. </w:t>
      </w:r>
      <w:r>
        <w:rPr>
          <w:u w:val="single"/>
        </w:rPr>
        <w:t xml:space="preserve"> </w:t>
      </w:r>
      <w:r>
        <w:rPr>
          <w:u w:val="single"/>
        </w:rPr>
        <w:t xml:space="preserve">The dealer may provide the brochure to the transferee in hard copy or electronic 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sale or transfer of a firearm if the transferee presents a valid license to carry a handgun issued under Subchapter H.</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