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87R7696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at which a sale is consummated for purposes of local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321.203(a), Tax Code, is amended to read as follows:</w:t>
      </w:r>
    </w:p>
    <w:p w:rsidR="003F3435" w:rsidRDefault="0032493E">
      <w:pPr>
        <w:spacing w:line="480" w:lineRule="auto"/>
        <w:ind w:firstLine="720"/>
        <w:jc w:val="both"/>
      </w:pPr>
      <w:r>
        <w:t xml:space="preserve">(a)</w:t>
      </w:r>
      <w:r xml:space="preserve">
        <w:t> </w:t>
      </w:r>
      <w:r xml:space="preserve">
        <w:t> </w:t>
      </w:r>
      <w:r>
        <w:t xml:space="preserve">A sale of a taxable item occurs within the municipality in which the sale is consummated. A sale is consummated as provided by this section regardless of the place where transfer of title or possession occurs </w:t>
      </w:r>
      <w:r>
        <w:rPr>
          <w:u w:val="single"/>
        </w:rPr>
        <w:t xml:space="preserve">and regardless of the method the purchaser uses to communicate the order to the retailer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323.203(a), Tax Code, is amended to read as follows:</w:t>
      </w:r>
    </w:p>
    <w:p w:rsidR="003F3435" w:rsidRDefault="0032493E">
      <w:pPr>
        <w:spacing w:line="480" w:lineRule="auto"/>
        <w:ind w:firstLine="720"/>
        <w:jc w:val="both"/>
      </w:pPr>
      <w:r>
        <w:t xml:space="preserve">(a)</w:t>
      </w:r>
      <w:r xml:space="preserve">
        <w:t> </w:t>
      </w:r>
      <w:r xml:space="preserve">
        <w:t> </w:t>
      </w:r>
      <w:r>
        <w:t xml:space="preserve">A sale of a taxable item occurs within the county in which the sale is consummated. A sale is consummated as provided by this section regardless of the place where transfer of title or possession occurs </w:t>
      </w:r>
      <w:r>
        <w:rPr>
          <w:u w:val="single"/>
        </w:rPr>
        <w:t xml:space="preserve">and regardless of the method the purchaser uses to communicate the order to the retailer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