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87R12419 BDP-D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requirements by the Texas Education Agency and certain school districts and open-enrollment charter schools regarding student attendance during a declared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25, Education Code, is amended by adding Section 25.0875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25.0875.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REPORTING OF ATTENDANCE DURING DECLARED DISASTER.  (a)  In this section, "declared disaster"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disaster declared by the president of the United States;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of disaster declared by the governor under Section 418.014, Government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state of disaster declared by the presiding officer of the governing body of a political subdivision under Section 418.108,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operations or in-person student attendance of a school district or open-enrollment charter school are substantially disrupted as a result of a declared disaster, the district school shall submit a report to the agency in accordance with Subsections (c) and (d).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 must include the total number, disaggregated by student grade level, gender, race, being enrolled in a special education program, being enrolled in a gifted and talented program, being at risk of dropping out of school, being in foster care, experiencing homelessness, being a dependent of military personnel, having limited English proficiency, or being a migratory child,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students attending in-person;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students attending remotely;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students experiencing chronic absenteeism.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declared disaster lasts: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period of less than 90 days, each affected school district or open-enrollment charter school shall submit a report to the agency not later than the 30th day following the termination or expiration of the declared disaster;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period of more than 90 days, each affected school district or open-enrollment charter school shall submit a report to the agency every 90 days for the duration of the declared disaster.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aggregate the data received from each school district and open-enrollment charter school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 a report to the legislature not later than 30 days after each required reporting period under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