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87R9514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economic effects of alternative methods of financing government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comptroller of public accounts and the Texas Facilities Commission jointly shall conduct a study on the economic effects that may result from alternative government project financing methods, including effects on the levels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general revenue debt supported by state tax revenue;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general revenue debt supported by tax revenues of political subdivisions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The study described by Section 1 of this Act must be based on representative projects identified for analysis in a list that the center for alternative finance and procurement provides to the comptroller of public accounts and the Texas Facilities Commission not later than December 31,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list of representative projects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consist of qualifying projects, as defined by Section 2267.001,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at least five projects in each of the following ranges of project valuation: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less than $5 million;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at least $5 million but less than $20 million;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least $20 million but less than $50 million;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 least $50 million but less than $100 million;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at least $100 million but less than $500 million;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at least $500 million but less than $1 billion;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at least $1 billion but less than $5 billion;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$5 billion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2022, the comptroller of public accounts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report the results of the study conducted under this Act to the governor, the lieutenant governor, and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post the results of the study on the comptroller's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