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4284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opioid abatement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403, Government Code, is amended by adding Section 403.1044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403.1044.</w:t>
      </w:r>
      <w:r>
        <w:rPr>
          <w:u w:val="single"/>
        </w:rPr>
        <w:t xml:space="preserve"> </w:t>
      </w:r>
      <w:r>
        <w:rPr>
          <w:u w:val="single"/>
        </w:rPr>
        <w:t xml:space="preserve"> </w:t>
      </w:r>
      <w:r>
        <w:rPr>
          <w:u w:val="single"/>
        </w:rPr>
        <w:t xml:space="preserve">OPIOID ABATEMENT ACCOUNT.  (a)  The opioid abatement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received by the state from any source resulting directly or indirectly from an action by the state against an opioid manufacturer, an opioid distributor, or another person in the opioid industry relating to a violation of state or federal law on the manufacture, marketing, distribution, or sale of opioids;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or transferred to the account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and grants contributed to the account;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earnings on the principal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a state agency for the abatement of opioid-related harms.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may use money appropriated to the agency from the account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opioid use disorder through evidence-based education and prevention, such as school-based prevention, early intervention, or health care services or programs intended to reduce the risk of opioid use by school-age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efforts to prevent or reduce deaths from opioid overdoses or other opioid-related harms, including through increasing the availability or distribution of naloxone or other opioid antagonists for use by health care providers, first responders, persons experiencing an opioid overdose, families, schools, community-based service providers, social workers, or other members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opioid use disorder treatment for youths and adults, with an emphasis on programs that provide 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access to patients suffering from opioid dependence to all medications approved by the United States Food and Drug Administration for the treatment of opioid dependence and relapse prevention following opioid detoxification, including opioid agonists, partial agonists, and antagonists;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support treatment alternatives that provide both psychosocial support and medication-assisted treatments in areas with geographical or transportation-related challenges, including providing access to mobile health services, and telemedicine, particularly in rural areas.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