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87R11713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required period for a municipality or water district to begin construction on certain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C, Title 13, Local Government Code, is amended to read as follows:</w:t>
      </w:r>
    </w:p>
    <w:p w:rsidR="003F3435" w:rsidRDefault="0032493E">
      <w:pPr>
        <w:spacing w:line="480" w:lineRule="auto"/>
        <w:jc w:val="center"/>
      </w:pPr>
      <w:r>
        <w:t xml:space="preserve">SUBTITLE C. WATER </w:t>
      </w:r>
      <w:r>
        <w:rPr>
          <w:u w:val="single"/>
        </w:rPr>
        <w:t xml:space="preserve">AND UTILITIES</w:t>
      </w:r>
      <w:r>
        <w:t xml:space="preserve"> PROVISIONS APPLYING TO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13, Local Government Code, is amended by adding Chapter 574 to read as follows:</w:t>
      </w:r>
    </w:p>
    <w:p w:rsidR="003F3435" w:rsidRDefault="0032493E">
      <w:pPr>
        <w:spacing w:line="480" w:lineRule="auto"/>
        <w:jc w:val="center"/>
      </w:pPr>
      <w:r>
        <w:rPr>
          <w:u w:val="single"/>
        </w:rPr>
        <w:t xml:space="preserve">CHAPTER 574. REQUIREMENTS FOR CERTAIN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 means a water supply or treatment system, a water distribution system, a sanitary sewage collection or treatment system, works or improvements necessary for drainage of land, roads and improvements in aid of roads, or any other work, construction, or improvement supported by an increase in a tax or utility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district" means a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574.002.</w:t>
      </w:r>
      <w:r>
        <w:rPr>
          <w:u w:val="single"/>
        </w:rPr>
        <w:t xml:space="preserve"> </w:t>
      </w:r>
      <w:r>
        <w:rPr>
          <w:u w:val="single"/>
        </w:rPr>
        <w:t xml:space="preserve"> </w:t>
      </w:r>
      <w:r>
        <w:rPr>
          <w:u w:val="single"/>
        </w:rPr>
        <w:t xml:space="preserve">ONE-YEAR REQUIREMENT TO BEGIN PROJECT. A municipality or water district shall begin construction of a project for which the municipality or district raises a tax or utility rate not later than the first anniversary of the date the municipality or district initially raised that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574.003.</w:t>
      </w:r>
      <w:r>
        <w:rPr>
          <w:u w:val="single"/>
        </w:rPr>
        <w:t xml:space="preserve"> </w:t>
      </w:r>
      <w:r>
        <w:rPr>
          <w:u w:val="single"/>
        </w:rPr>
        <w:t xml:space="preserve"> </w:t>
      </w:r>
      <w:r>
        <w:rPr>
          <w:u w:val="single"/>
        </w:rPr>
        <w:t xml:space="preserve">LOWER RATE AND REFUND REQUIRED.  If a municipality or water district violates Section 574.002, the municipality or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lower the tax or utility rate to the rate in effect immediately before the rate was raised for the project that is the subject of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to each taxpayer or ratepayer, as applicable, an amount equal to the amount paid by the taxpayer or ratepayer for the project that is the subject of the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574, Local Government Code, as added by this Act, applies only to a project for which a tax or utility rate is raised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