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87R12218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4289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the criminal offense of indecent assault;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22.012(b),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r>
        <w:rPr>
          <w:u w:val="single"/>
        </w:rPr>
        <w:t xml:space="preserve">, except that the offense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jail felony if it is shown on the trial of the offense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defendant has been previously convicted of an offense under this section, other than an offense punishable under Paragraph (B);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the time of the offense the defendant was employed or volunteering as an instructional trainer, coach, or tutor for an athletic or educational activity,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defendant was training, coaching, or tutoring the victim as part of the activity and knew or had reason to believe that the victim was enrolled in a public or private primary or secondary school;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defendant was attending an athletic or educational activity held primarily for students enrolled in school as described by Subparagraph (i) and knew or had reason to believe that the victim was a student participant;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third degree if it is shown on the trial of the offense that the defendant has been previously convicted of an offense under this section that is punishable under Subdivision (1)(B)</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