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4295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authorized release and confidentiality of an autopsy report.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Article 49.25,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examiner may release a copy of an autopsy report of a deceased person to any organ and tissue procurement organization, hospital, or other covered entity as defined by Section 181.001, Health and Safety Code, that treated the deceased person before death or procured any anatomical gift from the body of the deceased person. The release of a report under this subsection is not considered a disclosure under Chapter 552, Government Code. A report obtained under this subsection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