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87R12108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4299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Commission on Law Enforcement on mental health services provided to peace officers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STUDY ON MENTAL HEALTH SERVICES FOR PEACE OFFICERS.  (a) The commission shall study the provision, availability, and accessibility of mental health services for peace officers.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studying the mental health services, the commission shall collect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agencies in this state regarding any mental health programs provided by the agencies, and to the extent available, the use of mental health services by the peace officers of the agencies;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governor's office regarding the office's implementation of the grant programs under Sections 772.0073 and 772.0074, Government Code, and the impact of those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2022, the commission shall submit a written report to the legislature with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increasing the effectiveness and availability of mental health services for peace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a mental health program, including a peer mentoring program, within a state agency or political subdivision that employs peace officers to improve access to mental health services for the peace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sources of funding for programs that provide peace officers with access to effective mental health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related issue the commission considers appropriate.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2023.</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