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87R21671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 Bowers</w:t>
      </w:r>
      <w:r xml:space="preserve">
        <w:tab wTab="150" tlc="none" cTlc="0"/>
      </w:r>
      <w:r>
        <w:t xml:space="preserve">H.B.</w:t>
      </w:r>
      <w:r xml:space="preserve">
        <w:t> </w:t>
      </w:r>
      <w:r>
        <w:t xml:space="preserve">No.</w:t>
      </w:r>
      <w:r xml:space="preserve">
        <w:t> </w:t>
      </w:r>
      <w:r>
        <w:t xml:space="preserve">4300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4300:</w:t>
      </w: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C.S.H.B.</w:t>
      </w:r>
      <w:r xml:space="preserve">
        <w:t> </w:t>
      </w:r>
      <w:r>
        <w:t xml:space="preserve">No.</w:t>
      </w:r>
      <w:r xml:space="preserve">
        <w:t> </w:t>
      </w:r>
      <w:r>
        <w:t xml:space="preserve">4300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report by the Texas Commission on Law Enforcement regarding peace officer salaries.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1701, Occupations Code, is amended by adding Section 1701.165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1701.165.</w:t>
      </w:r>
      <w:r>
        <w:rPr>
          <w:u w:val="single"/>
        </w:rPr>
        <w:t xml:space="preserve"> </w:t>
      </w:r>
      <w:r>
        <w:rPr>
          <w:u w:val="single"/>
        </w:rPr>
        <w:t xml:space="preserve"> </w:t>
      </w:r>
      <w:r>
        <w:rPr>
          <w:u w:val="single"/>
        </w:rPr>
        <w:t xml:space="preserve">REPORT ON PEACE OFFICER SALARIES.  (a)  Not later than December 1, 2022, the commission shall submit a report regarding peace officer salaries in this state to the governor, the lieutenant governor, the speaker of the house of representatives, and each standing committee of the legislature with primary jurisdiction over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salary information categorized by law enforcement agency size, based on the population residing in the agency's jurisdiction;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category under Subdivision (1), a comparison of:</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officer salaries to cost of living;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officer salaries in this state to officer salaries in other states.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shall provide any information requested by the commission to prepare the report.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January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