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87R12452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4303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adjustment of the average daily attendance of a school district due to a disaster that disrupts in-person attendance.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48.006, Education Code, is amended by adding Subsection (a-1) and amending Subsections (b)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the commissioner shall adjust the average daily attendance of a school district all or part of which is located in an area of a disaster declared by the president of the United States under the Robert T. Stafford Disaster Relief and Emergency Assistance Act (42 U.S.C. Section 5121 et seq.) or by the governor under Chapter 418, Government Code, if in-person attendance in the district is disrupted for at least 37,800 consecutive instructional minutes due to the disaster.</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w:t>
      </w:r>
      <w:r>
        <w:t xml:space="preserve">] adjustment </w:t>
      </w:r>
      <w:r>
        <w:rPr>
          <w:u w:val="single"/>
        </w:rPr>
        <w:t xml:space="preserve">under Subsection (a) or (a-1)</w:t>
      </w:r>
      <w:r>
        <w:t xml:space="preserve"> must be sufficient to ensure that the district receives funding comparable to the funding that the district would have received if the decline in average daily attendance reasonably attributable to the impact of the disaster had not occurred.</w:t>
      </w:r>
    </w:p>
    <w:p w:rsidR="003F3435" w:rsidRDefault="0032493E">
      <w:pPr>
        <w:spacing w:line="480" w:lineRule="auto"/>
        <w:ind w:firstLine="720"/>
        <w:jc w:val="both"/>
      </w:pPr>
      <w:r>
        <w:t xml:space="preserve">(c)</w:t>
      </w:r>
      <w:r xml:space="preserve">
        <w:t> </w:t>
      </w:r>
      <w:r xml:space="preserve">
        <w:t> </w:t>
      </w:r>
      <w:r>
        <w:t xml:space="preserve">The commissioner may make the adjustment under </w:t>
      </w:r>
      <w:r>
        <w:rPr>
          <w:u w:val="single"/>
        </w:rPr>
        <w:t xml:space="preserve">Subsection (a)</w:t>
      </w:r>
      <w:r>
        <w:t xml:space="preserve"> [</w:t>
      </w:r>
      <w:r>
        <w:rPr>
          <w:strike/>
        </w:rPr>
        <w:t xml:space="preserve">this section</w:t>
      </w:r>
      <w:r>
        <w:t xml:space="preserve">] for the two-year period following the date of the governor's initial proclamation or executive order declaring the state of disaster.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