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87R12476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4310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nutritional support grant program for certain medically fragile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33, Human Resources Code, is amended by adding Subchapter C to read as follows:</w:t>
      </w:r>
    </w:p>
    <w:p w:rsidR="003F3435" w:rsidRDefault="0032493E">
      <w:pPr>
        <w:spacing w:line="480" w:lineRule="auto"/>
        <w:jc w:val="center"/>
      </w:pPr>
      <w:r>
        <w:rPr>
          <w:u w:val="single"/>
        </w:rPr>
        <w:t xml:space="preserve">SUBCHAPTER C. NUTRITIONAL SUPPORT GRANT PROGRAM FOR CERTAIN MEDICALLY FRAGILE CHILDREN</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program" means the nutritional support grant program for medically fragile children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"Medically fragile child" means a person younger than 18 years of age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chronically ill or disabled and requires indefinite skilled nursing care to maintain the person's existence in the person's home;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temporarily ill or disabled because of premature birth, accident, or trauma and has experienced a temporary lifestyle change requiring skilled nursing care;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suffering from uncontrollable seizures or other chronic illness;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chronically dependent on medical devices to perform vital bodily functions.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33.102.</w:t>
      </w:r>
      <w:r>
        <w:rPr>
          <w:u w:val="single"/>
        </w:rPr>
        <w:t xml:space="preserve"> </w:t>
      </w:r>
      <w:r>
        <w:rPr>
          <w:u w:val="single"/>
        </w:rPr>
        <w:t xml:space="preserve"> </w:t>
      </w:r>
      <w:r>
        <w:rPr>
          <w:u w:val="single"/>
        </w:rPr>
        <w:t xml:space="preserve">ESTABLISHMENT OF GRANT PROGRAM.  The executive commissioner by rule shall develop and implement a grant program to provide financial assistance to the families of medically fragile children who have been diagnosed with a rare or unique disease or medical condition for the purpose of assisting families in paying the costs associated with providing specialized nutritional support for that child.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33.103.</w:t>
      </w:r>
      <w:r>
        <w:rPr>
          <w:u w:val="single"/>
        </w:rPr>
        <w:t xml:space="preserve"> </w:t>
      </w:r>
      <w:r>
        <w:rPr>
          <w:u w:val="single"/>
        </w:rPr>
        <w:t xml:space="preserve"> </w:t>
      </w:r>
      <w:r>
        <w:rPr>
          <w:u w:val="single"/>
        </w:rPr>
        <w:t xml:space="preserve">ELIGIBILITY.  (a) The executive commissioner by rule shall establish eligibility criteria for awarding grants under the grant program. The criteria must provide that for a person to be eligible for a grant, the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the parent and primary caregiver of a medically fragile child with a rare or unique disease or medical condition that requires specialized nutritional support, including enteral nutrition;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lack or have inadequate health benefit plan coverage  to pay the costs associated with providing that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identify the diagnoses considered rare and unique for purposes of Subsection (a)(1).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may not impose income eligibility requirements under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33.104.</w:t>
      </w:r>
      <w:r>
        <w:rPr>
          <w:u w:val="single"/>
        </w:rPr>
        <w:t xml:space="preserve"> </w:t>
      </w:r>
      <w:r>
        <w:rPr>
          <w:u w:val="single"/>
        </w:rPr>
        <w:t xml:space="preserve"> </w:t>
      </w:r>
      <w:r>
        <w:rPr>
          <w:u w:val="single"/>
        </w:rPr>
        <w:t xml:space="preserve">AWARD OF GRANTS.  (a)  The commission may approve grants according to commission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subchapter is governed by Chapter 783, Government Code, and rules adopted under that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33.105.</w:t>
      </w:r>
      <w:r>
        <w:rPr>
          <w:u w:val="single"/>
        </w:rPr>
        <w:t xml:space="preserve"> </w:t>
      </w:r>
      <w:r>
        <w:rPr>
          <w:u w:val="single"/>
        </w:rPr>
        <w:t xml:space="preserve"> </w:t>
      </w:r>
      <w:r>
        <w:rPr>
          <w:u w:val="single"/>
        </w:rPr>
        <w:t xml:space="preserve">FUNDING.  The commission shall award grants as provided by this subchapter from available money and any additional money appropriated for this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33.106.</w:t>
      </w:r>
      <w:r>
        <w:rPr>
          <w:u w:val="single"/>
        </w:rPr>
        <w:t xml:space="preserve"> </w:t>
      </w:r>
      <w:r>
        <w:rPr>
          <w:u w:val="single"/>
        </w:rPr>
        <w:t xml:space="preserve"> </w:t>
      </w:r>
      <w:r>
        <w:rPr>
          <w:u w:val="single"/>
        </w:rPr>
        <w:t xml:space="preserve">GIFTS, GRANTS, AND DONATIONS.  The commission may accept gifts, grants, and donations from any source that are made for the purposes of the grant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2022, the executive commissioner of the Health and Human Services Commission shall adopt rules necessary to implement Subchapter C, Chapter 33, Human Resources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