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qualifications of a county fire marshal.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352.012, Local Government Code, is amended by adding Section 352.012(c)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QUALIFICATIONS FOR OFFICE.  (a)  To qualify for office, the county fire marshal must take the oath prescribed by the constitution of this state and post a bond as required by the commissioners court conditioned that the marshal will faithfully and strictly perform the duties of the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county fire marshal may not be directly or indirectly interested in the sale of fire-fighting equipment and may not be engaged in any type of fire insurance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fire marshal shall meet the requirements of the Texas Commission on Fire Protection Rule §449.203 and the Texas Code of Criminal Procedure Article §2.12.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