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4327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interference with the practice of veterinary medicine.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801, Occupations Code, is amended by adding Section 801.3525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801.3525.</w:t>
      </w:r>
      <w:r>
        <w:rPr>
          <w:u w:val="single"/>
        </w:rPr>
        <w:t xml:space="preserve"> </w:t>
      </w:r>
      <w:r>
        <w:rPr>
          <w:u w:val="single"/>
        </w:rPr>
        <w:t xml:space="preserve"> </w:t>
      </w:r>
      <w:r>
        <w:rPr>
          <w:u w:val="single"/>
        </w:rPr>
        <w:t xml:space="preserve">PROHIBITION AGAINST INTERFERENCE WITH PRACTICE OF VETERINARY MEDICINE.  (a)  A veterinarian and the practice of veterinary medicine by the veterinarian are subject only to applicable federal law and regulations and applicable state law, including rules adopted by the board, that govern the practice of veterinary medicine.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expressly authorized by state law, the governing body of a municipality may not adopt or enforce any ordinance, rule, or regulation that prohibits a veterinarian from performing a medical procedure on an animal that is not prohibited by this chapter or other state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 ordinance, rule, or regulation that violates this section is void and unenforceable.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