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of animal cruelty to certain law enforcement agencies and immunity from liability for the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821, Health and Safety Code, is amended to read as follows:</w:t>
      </w:r>
    </w:p>
    <w:p w:rsidR="003F3435" w:rsidRDefault="0032493E">
      <w:pPr>
        <w:spacing w:line="480" w:lineRule="auto"/>
        <w:jc w:val="center"/>
      </w:pPr>
      <w:r>
        <w:t xml:space="preserve">SUBCHAPTER B.  [</w:t>
      </w:r>
      <w:r>
        <w:rPr>
          <w:strike/>
        </w:rPr>
        <w:t xml:space="preserve">DISPOSITION OF</w:t>
      </w:r>
      <w:r>
        <w:t xml:space="preserve">] CRUELLY TREATED ANIMALS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821, Health and Safety Code, is amended by adding Section 821.027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821.027.</w:t>
      </w:r>
      <w:r>
        <w:rPr>
          <w:u w:val="single"/>
        </w:rPr>
        <w:t xml:space="preserve"> </w:t>
      </w:r>
      <w:r>
        <w:rPr>
          <w:u w:val="single"/>
        </w:rPr>
        <w:t xml:space="preserve"> </w:t>
      </w:r>
      <w:r>
        <w:rPr>
          <w:u w:val="single"/>
        </w:rPr>
        <w:t xml:space="preserve">REPORT OF ANIMAL CRUELTY; IMMUNITIES.  (a)  A veterinarian licensed to practice veterinary medicine in this state or an employee of the Health and Human Services Commission or the Department of Family and Protective Services who is acting within the scope of practice or employment and has reasonable cause to believe that a person has committed an offense under Section 42.092, Penal Code, with respect to a domesticated nonlivestock animal shall report, as soon as possible, the suspected offense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sheriff's department of the county in which the suspected offense was committed;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police department of the municipality in which the suspected offense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Subsections (a) and (b), if the veterinarian or employee is unable to determine the county or municipality in which the suspected offense was committed, the veterinarian or employee shall report the suspected offense to the appropriate authorities in the county or municipality in which the animal was located at the time the veterinarian or employee discovered the suspected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person acted in bad faith or maliciously, a person is immune from civil or criminal liability and is not subject to administrative disciplinary action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a report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in an investigation of a report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records or information related to a suspected offense under Section 42.092, Penal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testimony or otherwise participating in a court proceeding arising from the report, records, or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821.027, Health and Safety Code, as added by this Act, applies only to a suspected offense that was committed, is reasonably believed to have been committed, or was discovered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