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87R21279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4338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4338:</w:t>
      </w: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C.S.H.B.</w:t>
      </w:r>
      <w:r xml:space="preserve">
        <w:t> </w:t>
      </w:r>
      <w:r>
        <w:t xml:space="preserve">No.</w:t>
      </w:r>
      <w:r xml:space="preserve">
        <w:t> </w:t>
      </w:r>
      <w:r>
        <w:t xml:space="preserve">4338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representation of a community supervision and corrections department in cases in which a person under the supervision of that department challenges the fact or duration of the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76.006, Government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attorney general has the duty to defend a department for suits for injunctive, declaratory, or monetary relief brought against it for any action not covered by an indemnification policy, except any action brought by the state or another political subdivision.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a person under the supervision of a department challenges the fact or duration of the supervision, the attorney general or the district or county attorney with jurisdiction over the offense for which the person is under supervision shall defend the department or its employees.  The attorney general must defend the department or its employees in a case described by this subsection if the district or county attorney is unable to defend the department or its employees, as applicable.  At the request of a district or county attorney, the</w:t>
      </w:r>
      <w:r>
        <w:t xml:space="preserve"> [</w:t>
      </w:r>
      <w:r>
        <w:rPr>
          <w:strike/>
        </w:rPr>
        <w:t xml:space="preserve">The</w:t>
      </w:r>
      <w:r>
        <w:t xml:space="preserve">] attorney general </w:t>
      </w:r>
      <w:r>
        <w:rPr>
          <w:u w:val="single"/>
        </w:rPr>
        <w:t xml:space="preserve">may provide assistance to the district or county attorney in defending</w:t>
      </w:r>
      <w:r>
        <w:t xml:space="preserve"> [</w:t>
      </w:r>
      <w:r>
        <w:rPr>
          <w:strike/>
        </w:rPr>
        <w:t xml:space="preserve">shall not defend</w:t>
      </w:r>
      <w:r>
        <w:t xml:space="preserve">] a department or its employees in cases </w:t>
      </w:r>
      <w:r>
        <w:rPr>
          <w:u w:val="single"/>
        </w:rPr>
        <w:t xml:space="preserve">described by this subsection</w:t>
      </w:r>
      <w:r>
        <w:t xml:space="preserve"> [</w:t>
      </w:r>
      <w:r>
        <w:rPr>
          <w:strike/>
        </w:rPr>
        <w:t xml:space="preserve">in which a person under supervision challenges the fact or duration of the supervision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76.006(d-1), Government Code, as added by this Act, applies only to a case described by that subsection that is initiated on or after the effective date of this Act. A case that is initiated before the effective date of this Act is governed by the law in effect on the date the case was initiated,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