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87R11609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 right of access to certain public information by an individual who is a victim of a crime.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552.0235.</w:t>
      </w:r>
      <w:r>
        <w:rPr>
          <w:u w:val="single"/>
        </w:rPr>
        <w:t xml:space="preserve"> </w:t>
      </w:r>
      <w:r>
        <w:rPr>
          <w:u w:val="single"/>
        </w:rPr>
        <w:t xml:space="preserve"> </w:t>
      </w:r>
      <w:r>
        <w:rPr>
          <w:u w:val="single"/>
        </w:rPr>
        <w:t xml:space="preserve">SPECIAL RIGHT OF ACCESS BY CRIME VICTIM.  (a) </w:t>
      </w:r>
      <w:r>
        <w:rPr>
          <w:u w:val="single"/>
        </w:rPr>
        <w:t xml:space="preserve"> </w:t>
      </w:r>
      <w:r>
        <w:rPr>
          <w:u w:val="single"/>
        </w:rPr>
        <w:t xml:space="preserve">Notwithstanding any other law, and except as provided by Subsection (b), an individual who is a victim of a crime has a special right of access, beyond the right of the public, to information held by a governmental body related to the detection, investigation, and prosecution of that crime, including information that is confidential under law. A governmental body on request by the individual shall provide the information to the individual for inspection or duplication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shall redact from any information provided under this section information that would identify the alleged or actual perpetrator of the crime, including the perpetrator's name, address, and social security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by providing information under this section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of an individual who is the victim of a crime to obtain information from a governmental body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under which the information is obtained under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that may be made of the information obtained under other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release of information under Subsection (a) is not an offense under Section 552.352.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public information received by a governmental body or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