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procedures of the State Commission on Judicial 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33.0211, Government Code, is amended by adding Subsections (c) and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the Commission has commenced an informal hearing or initiated formal proceedings related to a complaint, the Commission must dismiss a complaint on the first Monday after 455 days from the date the complaint was received by the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may recommend, and the chairperson may approve an extension of up to 120 days for complaint disposition due to extenuating circumstances, including a need for further investigation.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