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Jetton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4345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and jurisdiction conferred to the State Commission on Judicial Conduct.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Sec. 33.001(a)(8), Government Code, is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"Judge" means a justice, judge, master, magistrate, or retired or former judge as described by Section 1-a, Article V, Texas Constitution, </w:t>
      </w:r>
      <w:r>
        <w:rPr>
          <w:u w:val="single"/>
        </w:rPr>
        <w:t xml:space="preserve">including a candidate for a judicial office subject to the Judicial Campaign Fairness Act, </w:t>
      </w:r>
      <w:r>
        <w:t xml:space="preserve">or other person who performs the functions of the justice, judge, master, magistrate, or retired or former judge.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Sec. 33.002, Government Code, is amended by adding Subsection (a-2)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State Commission on Judicial Conduct shall have the authority to enforce the Code of Judicial Conduct and administer discipline as it relates to judicial candidates.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4345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