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87R18011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Leman, Cain, Paul, Vasut, Schofield,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carrying, or transportation of a firearm by certain persons during the use of an easement.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EASEMENTS RESTRICTING POSSESSION OF FIREARMS PROHIBITED.  (a)  In this section, "firearm" has the meaning assigned by Section 46.01, Penal Code.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any firearm parts, firearm accessories, and firearm ammunition.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instrument granting an access easement or appurtenant easement may not restrict or prohibit an easement holder or an easement holder's guest from possessing, carrying, or transporting a firearm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servient estate may not enforce a restrictive covenant in an instrument granting an easement on the servient estate that restricts or prohibits the easement holder or the easement holder's guest from possessing, carrying, or transporting a firearm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5.020, Property Code, as added by this Act, applies to an easement granted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