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87R6499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w:t>
      </w:r>
      <w:r xml:space="preserve">
        <w:tab wTab="150" tlc="none" cTlc="0"/>
      </w:r>
      <w:r>
        <w:t xml:space="preserve">H.B.</w:t>
      </w:r>
      <w:r xml:space="preserve">
        <w:t> </w:t>
      </w:r>
      <w:r>
        <w:t xml:space="preserve">No.</w:t>
      </w:r>
      <w:r xml:space="preserve">
        <w:t> </w:t>
      </w:r>
      <w:r>
        <w:t xml:space="preserve">4353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sales tax revenue collected under certain contracts.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54, Water Code, is amended by adding Section 54.605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54.605.</w:t>
      </w:r>
      <w:r>
        <w:rPr>
          <w:u w:val="single"/>
        </w:rPr>
        <w:t xml:space="preserve"> </w:t>
      </w:r>
      <w:r>
        <w:rPr>
          <w:u w:val="single"/>
        </w:rPr>
        <w:t xml:space="preserve"> </w:t>
      </w:r>
      <w:r>
        <w:rPr>
          <w:u w:val="single"/>
        </w:rPr>
        <w:t xml:space="preserve">USE OF SALES TAX REVENUE UNDER CERTAIN CONTRACTS.  (a) </w:t>
      </w:r>
      <w:r>
        <w:rPr>
          <w:u w:val="single"/>
        </w:rPr>
        <w:t xml:space="preserve"> </w:t>
      </w:r>
      <w:r>
        <w:rPr>
          <w:u w:val="single"/>
        </w:rPr>
        <w:t xml:space="preserve">This section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district located in a county with a population of 550,000 or more and included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Harris-Galveston Subsidence District;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Fort Bend Subsidence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municipality with a population of one million or more that is included in the Harris-Galveston Subsidence District;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received by a municipality under Chapter 321, Tax Code, from sales or uses consummated within the district, a percentage of which is distributed to the district by the municipality under the terms of a contract with the municipality, including a strategic partnership agreement authorized by Section 43.0751,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municipality must use at least 50 percent of the municipality's share of the money described by Subsection (a)(3) for drainage or road projects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located or conducted within the district or within five miles of the district's boundary;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benefit residents of the district;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they include a major thoroughfare, are consistent with the major thoroughfare plan of the county in which the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applies to a contract or strategic partnership agreement entered into before September 1, 2021, only to the extent that the provisions of Subsection (b) do not impair obligations under the provisions of the contract or agreement.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