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4356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of directors of certain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377.051(e),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that is located in a municipality with a population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more than 5,000 and less than 6,000 and that is located wholly in a county with a population of more than 20,000 and less than 25,000 and that borders the Brazos River if the person resides in the independent school district that serves the majority of the district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1,488 and less than 2,500 and that is located wholly in a county with a population of more than 20,000 and less than 30,000 and that borders both the Neches River and the Trinity River if the person resides in the independent school district that serves the majority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