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H.B.</w:t>
      </w:r>
      <w:r xml:space="preserve">
        <w:t> </w:t>
      </w:r>
      <w:r>
        <w:t xml:space="preserve">No.</w:t>
      </w:r>
      <w:r xml:space="preserve">
        <w:t> </w:t>
      </w:r>
      <w:r>
        <w:t xml:space="preserve">4358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manner of carrying a handgun by a person who holds a license under Subchapter H, Chapter 411, Government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46.035(a), (b), (c), and (d) Penal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w:t>
      </w:r>
      <w:r>
        <w:t xml:space="preserve"> Chapter 411, Government Code, and intentionally displays the handgun in plain view of another person in a public place.  It is an exception to the application of this subsection that the handgun was partially or wholly visible but was carried in a </w:t>
      </w:r>
      <w:r>
        <w:rPr>
          <w:strike/>
        </w:rPr>
        <w:t xml:space="preserve">[shoulder or bolt]</w:t>
      </w:r>
      <w:r>
        <w:t xml:space="preserve"> holster by the license holder.</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bolt]</w:t>
      </w:r>
      <w:r>
        <w:t xml:space="preserve">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belt]</w:t>
      </w:r>
      <w:r>
        <w:t xml:space="preserve"> holster, in the room or rooms where a meeting of a governmental entity is held and if the meeting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license holder commits an offense if, while intoxicated, the license holder carries a handgun under the authority of Subchapter H, Chapter 411, Government Code,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w:t>
      </w:r>
      <w:r>
        <w:rPr>
          <w:strike/>
        </w:rPr>
        <w:t xml:space="preserve">[shoulder or belt]</w:t>
      </w:r>
      <w:r>
        <w:t xml:space="preserve">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46.15(b), Penal Code, is amended to read as follows:</w:t>
      </w:r>
    </w:p>
    <w:p w:rsidR="003F3435" w:rsidRDefault="0032493E">
      <w:pPr>
        <w:spacing w:line="480" w:lineRule="auto"/>
        <w:ind w:firstLine="720"/>
        <w:jc w:val="both"/>
      </w:pPr>
      <w:r>
        <w:t xml:space="preserve">(b)</w:t>
      </w:r>
      <w:r xml:space="preserve">
        <w:t> </w:t>
      </w:r>
      <w:r xml:space="preserve">
        <w:t> </w:t>
      </w:r>
      <w:r>
        <w:t xml:space="preserve">Section 46.02 does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is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1440"/>
        <w:jc w:val="both"/>
      </w:pPr>
      <w:r>
        <w:t xml:space="preserve">(7)</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t xml:space="preserve">(8)</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