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87R2890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4377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funding for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12.106, Education Code, is amended by adding Subsection (k) to read as follows: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any other provision of this section, the total amount of funding per student in weighted average daily attendance to which a charter holder may be entitled for an open-enrollment charter school under this section may not exceed the total amount of state and local revenue, including maintenance and operations revenue and revenue for debt service, per student in weighted average daily attendance of the school district within whose boundaries the charter holder's campus with the greatest enrollment is located. If a charter holder's funding would exceed that amount, the amount of funding to which the charter holder would otherwise be entitled under this section shall be reduced to comply with the maximum amount of funding described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