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H.B.</w:t>
      </w:r>
      <w:r xml:space="preserve">
        <w:t> </w:t>
      </w:r>
      <w:r>
        <w:t xml:space="preserve">No.</w:t>
      </w:r>
      <w:r xml:space="preserve">
        <w:t> </w:t>
      </w:r>
      <w:r>
        <w:t xml:space="preserve">4378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supply of power and the financial stability of the competitive wholesale and retail electricity markets.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39, Utilities Code, is amended by adding Sections 39.1513 and 39.1514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39.1513</w:t>
      </w:r>
      <w:r>
        <w:rPr>
          <w:u w:val="single"/>
        </w:rPr>
        <w:t xml:space="preserve"> </w:t>
      </w:r>
      <w:r>
        <w:rPr>
          <w:u w:val="single"/>
        </w:rPr>
        <w:t xml:space="preserve"> </w:t>
      </w:r>
      <w:r>
        <w:rPr>
          <w:u w:val="single"/>
        </w:rPr>
        <w:t xml:space="preserve">ADEQUACY OF SUPPLY IN THE WHOLESALE ELECTRICITY MARKET  (a)  The commission shall adopt and enforce rules to promote adequacy of generation supply.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appropriate price signals in the wholesale power market;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seasonal or annual procurement of energy or generation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regarding wholesale power market price signals shall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moderate price volatility;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revenues sufficient to encourage construction and operation of dispatchable generation resources necessary to ensure reliable power supply.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require the use of risk-weighted analysis to determine the quantities to be procured under subsection (b)(2).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ensure the costs of procuring adequate generation supply under this section shall be equitably apportioned to market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39.1514</w:t>
      </w:r>
      <w:r>
        <w:rPr>
          <w:u w:val="single"/>
        </w:rPr>
        <w:t xml:space="preserve"> </w:t>
      </w:r>
      <w:r>
        <w:rPr>
          <w:u w:val="single"/>
        </w:rPr>
        <w:t xml:space="preserve"> </w:t>
      </w:r>
      <w:r>
        <w:rPr>
          <w:u w:val="single"/>
        </w:rPr>
        <w:t xml:space="preserve">FINANCIAL STABILITY OF WHOLESALE MARKET  The commission shall ensure that each participant in the wholesale power market posts sufficient collateral or otherwise provides sufficient assurance that it will meet its financial obligations incurred in high and low customer demand conditions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