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87R14418 TYPED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ownership or operation of a motor vehicle dealership by a manufacturer or distributor of motor vehicles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2301.252(a),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may not engage in the business of buying, selling, or exchanging new motor vehicles unless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holds a franchised dealer's license issued under this chapter for the make of new motor vehicle being bought, sold, or exchanged[</w:t>
      </w:r>
      <w:r>
        <w:rPr>
          <w:strike/>
        </w:rPr>
        <w:t xml:space="preserve">;</w:t>
      </w:r>
      <w:r>
        <w:t xml:space="preserve">]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is a bona fide employee of the holder of a franchised dealer's license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manufacturer or distributor described by Section 2301.476(i-1) or is a bona fide employee of the manufacturer or distributor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2301.476, Occupations Code, is amended by adding Subsection (i-1)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chapter, a manufacturer or distributor may own or operate a dealership, may own, operate, or otherwise act in the capacity of a dealer, and may obtain a dealer general distinguishing number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manufacturer or distributor manufactures or distributes motor vehicles powered only by electricity or battery;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manufacturer's line-make has never been sold in this state through an independent franchised new motor vehicle dealership.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503.029(a),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applicant for an original or renewal dealer general distinguishing number must submit to the department a written application on a form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provided by the department;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contains the information required by the department;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contains information that demonstrates the person meets the requirements prescribed by Section 503.032;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contains information that demonstrates the applicant has complied with all applicable state laws and municipal ordinances;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states that the applicant agrees to allow the department to examine during working hours the ownership papers for each registered or unregistered vehicle in the applicant's possession or control;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specifies whether the applicant proposes to be a: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franchised motor vehicle dealer;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independent motor vehicle dealer;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wholesale motor vehicle dealer;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motorcycle dealer;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house trailer dealer;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trailer or semitrailer dealer;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independent mobility motor vehicle dealer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manufacturer or distributor described by Section 2301.476(i-1), Occupations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