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87R10348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parties in certain suits affecting the parent-child relationship of options for periods of possession of or access to a child under a standard possession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102.009, Family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petition requests the establishment or modification of periods of possession of or access to a child, the citation must include notice of the options for periods of possession of or access to a child under a standard possession order under Subchapter F, Chapter 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154.022, Civil Practice and Remedies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pending dispute concerns the establishment or modification of periods of possession of or access to a child, the notification must include notice of the options for periods of possession of or access to a child under a standard possession order under Subchapter F, Chapter 153, Family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suit affecting the parent-child relationship filed on or after the effective date of this Act.  A suit affecting the parent-child relationship filed before that date is governed by the law in effect on the date the suit was filed,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