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4383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providing information to undergraduate students regarding certain fixed or flat tuition rates provided by certain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54.016,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that offers a fixed tuition rate program under this section shall provide information explaining the effect of the program on the calculation of a student's cost per credit hour, including the institution's current fixed tuition rate, and clearly describing the amount  of tuition a student would pay for varying course loads covered by the program: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each transferring undergraduate student, at the time the student is offered the opportunity to participate in the institution's fixed tuition rate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student enrolled in the institution's fixed tuition rate program, in materials or correspondence provided to  the student each time the student registers for a semester or other term and in each tuition billing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institution's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financial aid information provided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54.017, Education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to which this section applies shall provide information explaining the effect of the fixed tuition price plan on the calculation of a student's cost per credit hour, including the institution's current fixed tuition rate, and clearly describing the amount of tuition a student would pay for varying course loads covered by the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each entering undergraduate student, at the time the student is offered the opportunity to participate in the institution's fixed tuition price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student enrolled in the institution's fixed tuition price plan, in materials or correspondence provided to the student each time the student registers for a semester or other term and in each tuition billing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institution's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financial aid information provided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54, Education Code, is amended by adding Section 54.018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FLAT-RATE TUITION PLAN.  (a) 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that offers a flat-rate tuition plan under which the institution charges a student for a specified number of credit hours regardless of the number of credit hours in which the student enrolls shall provide information explaining the effect of the flat-rate tuition plan on the calculation of a student's cost per credit hour, including the institution's current flat rate of tuition, and clearly describing the amount of tuition a student would pay for varying course loads covered by the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each entering undergraduate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materials or correspondence provided to the student each time the student registers for a semester or other term and in each tuition billing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institution's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financial aid information provided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