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87R11838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implementation of student and family engagement plans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STUDENT AND FAMILY ENGAGEMENT PLANS.  (a)  Each school district shall develop and implement a student and family engagement plan for students in each grade level from prekindergarten through grade 12 to assist the district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achieving and maintaining high levels of family involvement and positive family attitudes toward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strengthening relationships between students, families, and teachers;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positive outcomes by increasing positive student engagement and developing the student's sense of connection to the student's learning environment, including by ensuring that the student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actively involved in the student's academic achievement;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positively motivated to attend school regularly and graduate;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creating opportunities for parents to engage with and be directly involved in their child's 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creating a communal campus environment that includes students, families, teachers, district staff, and community-based organizations that provide resources to students for social-emotional and academic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student and family engagement plans must be based on student and parent engagement strategies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based on empirical research;</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system of communication, updated annually based on a district assessment of parent and communication needs, between students, families, and school districts that includes mailed, electronic, and virtual communications, such as phone calls, text messaging, and e-mail;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support for students who are attending school in-person or virtually through counselors, teachers, and district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diagnostic tools to evaluate the emotional, behavioral, and cognitive engagement of students and communicate the results to the family of the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regular meetings with interested persons, including community-based organizations, throughout the school year regarding the development and implementation of the engagement plans;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are proven to demonstrate significant positive short-term and long-term outcomes for early childhood, elementary, middle school, and high school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programs and interventions that engage a family in supporting a student's learning at home;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include programming that is accessible by students who are bilingual and students of limited English proficiency;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are proven to demonstrate solutions that build long-lasting generational relationships between school districts and families;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support virtual or remote learning by promoting digital communication and literacy and by ensuring that students have access to devices and broadband Internet throughout the duration of a disaster declared by the president of the United States under the Robert T. Stafford Disaster Relief and Emergency Assistance Act (42 U.S.C. Section 5121 et seq.) or by the governor under Chapter 418,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shall ensure that student and family engagement plans are consistent with the public education mission and objectives described by Section 4.001 and accessible to students who are educationally disadvantaged.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student and family engagement plans, a school district must collaborate with campus leaders, educators, teachers, families, and students at all grade levels to include in the student and family engagement plans the strategies described by Subsection (b).  A school district must provide for a student at the middle or high school level to be directly involved in developing student engagement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offer administrative support and resources to assist school districts with developing and implementing student and family engagement plans as provided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30th instructional day following the first day of school, each school district shall post the student and family engagement plans on the district's Internet website.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collaborate with other state agencies, including the Health and Human Services Commission, that provide services for children to establish prioritized family engagement strategies to be included in a school district's family engagement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parent-teacher organization, community group, or faith-based institution may submit to the agency recommendations regarding the establishment of family engagement strategies, and the agency, in establishing the family engagement strategies, shall consider any submitted recommendations.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school district shall review the student and family engagement plans annually and update the plans at least once every five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29.168,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