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4394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plans by a school district or open-enrollment charter school for mitigating student learning loss due to the coronavirus disease (COVID-19) pandemic.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29, Education Code, is amended by adding Subchapter O to read as follows:</w:t>
      </w:r>
    </w:p>
    <w:p w:rsidR="003F3435" w:rsidRDefault="0032493E">
      <w:pPr>
        <w:spacing w:line="480" w:lineRule="auto"/>
        <w:jc w:val="center"/>
      </w:pPr>
      <w:r>
        <w:rPr>
          <w:u w:val="single"/>
        </w:rPr>
        <w:t xml:space="preserve">SUBCHAPTER O. PLANS FOR MITIGATING LEARNING LOSS DUE TO COVID-19 PANDEMIC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"Learning loss" means any specific or general loss of knowledge and skills or reversals in academic progress.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29.602.</w:t>
      </w:r>
      <w:r>
        <w:rPr>
          <w:u w:val="single"/>
        </w:rPr>
        <w:t xml:space="preserve"> </w:t>
      </w:r>
      <w:r>
        <w:rPr>
          <w:u w:val="single"/>
        </w:rPr>
        <w:t xml:space="preserve"> </w:t>
      </w:r>
      <w:r>
        <w:rPr>
          <w:u w:val="single"/>
        </w:rPr>
        <w:t xml:space="preserve">SCHOOL YEARS AFFECTED BY CORONAVIRUS DISEASE.  For purposes of this subchapter, the school years affected by the coronavirus disease (COVID-19) pandemic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2020-2021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2021-2022 school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2022-2023 school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29.603.</w:t>
      </w:r>
      <w:r>
        <w:rPr>
          <w:u w:val="single"/>
        </w:rPr>
        <w:t xml:space="preserve"> </w:t>
      </w:r>
      <w:r>
        <w:rPr>
          <w:u w:val="single"/>
        </w:rPr>
        <w:t xml:space="preserve"> </w:t>
      </w:r>
      <w:r>
        <w:rPr>
          <w:u w:val="single"/>
        </w:rPr>
        <w:t xml:space="preserve">LEARNING LOSS IDENTIFICATION.  Each school district and open-enrollment charter school shall identify each student enrolled in the district or school who has experienced learning loss during any school year affected by the coronavirus disease pandemic.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29.604.</w:t>
      </w:r>
      <w:r>
        <w:rPr>
          <w:u w:val="single"/>
        </w:rPr>
        <w:t xml:space="preserve"> </w:t>
      </w:r>
      <w:r>
        <w:rPr>
          <w:u w:val="single"/>
        </w:rPr>
        <w:t xml:space="preserve"> </w:t>
      </w:r>
      <w:r>
        <w:rPr>
          <w:u w:val="single"/>
        </w:rPr>
        <w:t xml:space="preserve">PLANS FOR MITIGATING LEARNING LOSS.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Each school district and open-enrollment charter school shall develop a plan to mitigate student learning loss as a result of the coronavirus disease (COVID-19) pandemic.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an open-enrollment charter school shall make the methods included in the learning loss plan available to any student identified as having experienced learning loss under Section 29.603.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an open-enrollment charter school may prioritize any students that the district or school has identified as most affected by the coronavirus disease pandemic.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29.605</w:t>
      </w:r>
      <w:r>
        <w:rPr>
          <w:u w:val="single"/>
        </w:rPr>
        <w:t xml:space="preserve"> </w:t>
      </w:r>
      <w:r>
        <w:rPr>
          <w:u w:val="single"/>
        </w:rPr>
        <w:t xml:space="preserve"> </w:t>
      </w:r>
      <w:r>
        <w:rPr>
          <w:u w:val="single"/>
        </w:rPr>
        <w:t xml:space="preserve">FUNDING TO IMPLEMENT PLANS TO MITIGATE LEARNING LOSS.  (a)  The agency shall make federal funds available to school districts and open-enrollment charter schools to implement the plans developed under Sec. 29.604.</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29.606.</w:t>
      </w:r>
      <w:r>
        <w:rPr>
          <w:u w:val="single"/>
        </w:rPr>
        <w:t xml:space="preserve"> </w:t>
      </w:r>
      <w:r>
        <w:rPr>
          <w:u w:val="single"/>
        </w:rPr>
        <w:t xml:space="preserve"> </w:t>
      </w:r>
      <w:r>
        <w:rPr>
          <w:u w:val="single"/>
        </w:rPr>
        <w:t xml:space="preserve">RULES.  The commissioner shall adopt necessary rules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29.607.</w:t>
      </w:r>
      <w:r>
        <w:rPr>
          <w:u w:val="single"/>
        </w:rPr>
        <w:t xml:space="preserve"> </w:t>
      </w:r>
      <w:r>
        <w:rPr>
          <w:u w:val="single"/>
        </w:rPr>
        <w:t xml:space="preserve"> </w:t>
      </w:r>
      <w:r>
        <w:rPr>
          <w:u w:val="single"/>
        </w:rPr>
        <w:t xml:space="preserve">EXPIRATION.  This subchapter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