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87R12198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4396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distributions to the state greyhound breed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2028.202(c) and (e),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From the total amount deducted under Subsection (a), a horse racetrack association that receives an interstate cross-species simulcast signal shall distribute [</w:t>
      </w:r>
      <w:r>
        <w:rPr>
          <w:strike/>
        </w:rPr>
        <w:t xml:space="preserve">the following amounts</w:t>
      </w:r>
      <w:r>
        <w:t xml:space="preserve">] from each pool wagered on the signal at the racetrack[</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fee of 1.5 percent to be paid to the racetrack in this state sending the signal[</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purse in the amount of 5.5 percent to be paid to the official state greyhound breed registry for use at racetracks in this state</w:t>
      </w:r>
      <w:r>
        <w:t xml:space="preserve">].</w:t>
      </w:r>
    </w:p>
    <w:p w:rsidR="003F3435" w:rsidRDefault="0032493E">
      <w:pPr>
        <w:spacing w:line="480" w:lineRule="auto"/>
        <w:ind w:firstLine="720"/>
        <w:jc w:val="both"/>
      </w:pPr>
      <w:r>
        <w:t xml:space="preserve">(e)</w:t>
      </w:r>
      <w:r xml:space="preserve">
        <w:t> </w:t>
      </w:r>
      <w:r xml:space="preserve">
        <w:t> </w:t>
      </w:r>
      <w:r>
        <w:t xml:space="preserve">A racetrack association offering wagering on an intrastate cross-species simulcast signal shall send the purse amount specified under Subsection (b)(4) [</w:t>
      </w:r>
      <w:r>
        <w:rPr>
          <w:strike/>
        </w:rPr>
        <w:t xml:space="preserve">or (c)(2), as appropriate,</w:t>
      </w:r>
      <w:r>
        <w:t xml:space="preserve">] to the racetrack conducting the live race that is being simulcast.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2027.055(a),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subchapter, a horse racetrack may offer wagering on interstate greyhound race simulcast signals only as provided by a contract with the nearest greyhound racetrack.  If an agreement between the racetracks cannot be reached by October 1 of the year preceding the calendar year in which the simulcasting is to occur, the horse racetrack may purchase and offer wagering on greyhound race simulcast signals and shall pay to the nearest greyhound racetrack the amounts specified under Section </w:t>
      </w:r>
      <w:r>
        <w:rPr>
          <w:u w:val="single"/>
        </w:rPr>
        <w:t xml:space="preserve">2028.202(c)</w:t>
      </w:r>
      <w:r>
        <w:t xml:space="preserve"> [</w:t>
      </w:r>
      <w:r>
        <w:rPr>
          <w:strike/>
        </w:rPr>
        <w:t xml:space="preserve">2028.202(c)(1)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2028.202(d);</w:t>
      </w:r>
    </w:p>
    <w:p w:rsidR="003F3435" w:rsidRDefault="0032493E">
      <w:pPr>
        <w:spacing w:line="480" w:lineRule="auto"/>
        <w:ind w:firstLine="1440"/>
        <w:jc w:val="both"/>
      </w:pPr>
      <w:r>
        <w:t xml:space="preserve">(2)</w:t>
      </w:r>
      <w:r xml:space="preserve">
        <w:t> </w:t>
      </w:r>
      <w:r xml:space="preserve">
        <w:t> </w:t>
      </w:r>
      <w:r>
        <w:t xml:space="preserve">Section 2028.154; and</w:t>
      </w:r>
    </w:p>
    <w:p w:rsidR="003F3435" w:rsidRDefault="0032493E">
      <w:pPr>
        <w:spacing w:line="480" w:lineRule="auto"/>
        <w:ind w:firstLine="1440"/>
        <w:jc w:val="both"/>
      </w:pPr>
      <w:r>
        <w:t xml:space="preserve">(3)</w:t>
      </w:r>
      <w:r xml:space="preserve">
        <w:t> </w:t>
      </w:r>
      <w:r xml:space="preserve">
        <w:t> </w:t>
      </w:r>
      <w:r>
        <w:t xml:space="preserve">Section 2030.053.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Racing Commission shall adopt the rules necessary to comply with Subtitle A-1, Title 13, Occupations Code (Texas Racing Act),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