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87R5650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instructional procedures adopted by public schools due to the coronavirus disease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29.927.</w:t>
      </w:r>
      <w:r>
        <w:rPr>
          <w:u w:val="single"/>
        </w:rPr>
        <w:t xml:space="preserve"> </w:t>
      </w:r>
      <w:r>
        <w:rPr>
          <w:u w:val="single"/>
        </w:rPr>
        <w:t xml:space="preserve"> </w:t>
      </w:r>
      <w:r>
        <w:rPr>
          <w:u w:val="single"/>
        </w:rPr>
        <w:t xml:space="preserve">REPORTING OF CERTAIN INFORMATION RELATED TO INSTRUCTIONAL PROCEDURES ADOPTED DUE TO CORONAVIRUS DISEASE (COVID-19) PANDEMIC; AGENCY REPORT. (a)  The agency by rule shall require each school district and open-enrollment charter school to  report on instructional procedures adopted by the district or school due to the coronavirus disease (COVID-19) pandemic, including the following information in the form and manner prescribed by the agency: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student engagement in instruction since the onset of the coronavirus disease (COVID-19) pandemic,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who have been engaged in instruction during and after the 2020-2021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who were not engaged in instruction for a period of time during or after the 2020-2021 school year but who, at the time of the report, are engaged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students who are not, at the time of the report, engaged in instruction;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students with whom, at the time of the report, the district or school has no contact;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 disciplinary incidents, including the number of incidents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dress code or hairstyle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possessing offensive visual material in a learning environment;</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required supervision or presence of an adult in a remote learning environment;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violation of the student code of conduct;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student Internet access,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with access to broadband Internet;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types of devices issued by the district or school that are used by students to access the Internet for learning and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devices issued by the district or school to students to facilitate student Internet connectivity;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cost to the district or school of providing and maintaining devices issued by the district or school for student Internet connectivity;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cost or charge paid by the student for the instructional use of a device issued to the student by the district or school for the student's Internet connectivity.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included in the report required by Subsection (a)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 race, ethnicity, sex, socioeconomic status, and grade level, students enrolled in a special education program under Subchapter A, Chapter 29, students of limited English proficiency under Section 29.052, and students who are homeless;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information required by Subsection (a)(3), the method by which instruction was offered, including if the instruction was offered: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remotely and synchronously;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remotely and asynchronously.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(a) must require a school district or open-enrollment charter school to  submit the first report not later than December 1, 2021.  A district or school must submit a report required by this section every 90 days.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prepare and submit a report to the legislature based on the information collected under Subsection (a). The agency shall submit the first report required under this subsection not later than January 1, 2022.  The agency must submit a report required by this section every 90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