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87R10392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parental option to request the return to or retention at a certain grade level for a public school student whose education was disrupted by the coronavirus disease pandemic.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28, Education Code, is amended by adding Section 28.02124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28.02124.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OPTIONAL GRADE LEVEL RETENTION OR RETURN.  (a)  Notwithstanding any other provision of this subchapter, due to the disruption in public education caused by the coronavirus disease (COVID-19) pandemic, a student's parent or legal guardian may submit to the school district or open-enrollment charter school in which the student is enrolled a written request that for the 2021-2022 school year the student be returned to or retained at the grade level in which the student was enrolled during the 2020-2021 school year.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grant a request under Subsection (a) received on or before June 30, 2021;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grant a request under Subsection (a) received after June 30, 2021, and before the first day of instruction.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soon as practicable after the end of the 2020-2021 school year, each school district and open-enrollment charter school shall provide written notice regarding the option under this section to the parent or legal guardian of each student enrolled in the district or school.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June 30, 2022, each school district and open-enrollment charter school shall report to the agency the number of students who for the 2021-2022 school year were returned to or retained at the grade level in which the student was enrolled during the 2020-2021 school year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