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87R12346 JSC-F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provision of an opioid antagonist to a person who is filling a prescription for an opioid medication.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483.103, Health and Safety Code, is amended by adding Subsection (b-1) and amending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pharmacist may dispense an opioid antagonist without a prescription to a person  to whom the pharmacist is dispensing an opioid medication under a prescription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opioid is prescribed in conjunction with benzodiazepine medication;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prescription of the dispensed medication directs the patient to take 90 morphine milligram equivalents or more daily;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pharmacist's professional opinion, the patient is at risk of accidental overdose or potential abuse or overuse;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physician who issued the prescription has communicated to the pharmacist that in the physician's professional opinion, the patient is at risk of accidental overdose or potential abuse or overuse.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pharmacist who, acting in good faith and with reasonable care, dispenses or does not dispense an opioid antagonist under a valid prescription </w:t>
      </w:r>
      <w:r>
        <w:rPr>
          <w:u w:val="single"/>
        </w:rPr>
        <w:t xml:space="preserve">or on the pharmacist's own initiative under Subsection (b-1)</w:t>
      </w:r>
      <w:r>
        <w:t xml:space="preserve"> is not subject to any criminal or civil liability or any professional disciplinary action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dispensing or failing to dispense the opioid antagonist;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pharmacist chooses to dispense an opioid antagonist, any outcome resulting from the eventual administration of the opioid antagonist.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person to whom the pharmacist dispenses an opioid medication under a prescription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