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87R12189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the criminal history of an applicant for an apartment 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92, Property Code, is amended by adding Section 92.3516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92.3516.</w:t>
      </w:r>
      <w:r>
        <w:rPr>
          <w:u w:val="single"/>
        </w:rPr>
        <w:t xml:space="preserve"> </w:t>
      </w:r>
      <w:r>
        <w:rPr>
          <w:u w:val="single"/>
        </w:rPr>
        <w:t xml:space="preserve"> </w:t>
      </w:r>
      <w:r>
        <w:rPr>
          <w:u w:val="single"/>
        </w:rPr>
        <w:t xml:space="preserve">CRIMINAL HISTORY OF APPLICANT FOR APARTMENT LEASE.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"Apartment" means a dwelling unit in a multiunit complex that has more than four dwelling units.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"Conviction" means a verdict or plea of guilty or nolo contendere for a criminal offense. The term does not include deferred adjudication or community supervision.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"Violent offense" has the meaning assigned by Article 17.032,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may not consider the criminal history of an applicant for an apartment lease that did not result in a  conviction.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landlord may not reject an applicant for an apartment lease solely because the applicant's criminal history includes a conviction for an offense, other than a violent offense, that occurred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years before the date the application was submitted, if the offense was a misdemeanor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eight years before the date the application was submitted, if the offense was a felony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submitted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