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87R11149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consideration of employee compensation and benefits in establishing the rates of gas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104.060(a),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"employee compensation and benefits" includes base salaries, wages, [</w:t>
      </w:r>
      <w:r>
        <w:rPr>
          <w:strike/>
        </w:rPr>
        <w:t xml:space="preserve">incentive compensation,</w:t>
      </w:r>
      <w:r>
        <w:t xml:space="preserve">] and benefits. The term does not include[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  pension or other postemployment benefits[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(2)  incentive compensation related to attaining financial metrics for an executive officer whose compensation is required to be disclosed under 17 C.F.R. Section 229.402(a)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