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87R9461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remediate an overflow of water caused by a diversion or impoundment of the natural flow of surface water.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11.086, Water Code, is amended by adding Subsections (e)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county with a population of more than 312,000 and less than 330,000, the commissioners court by order may require the county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remediate an overflow of water caused by a diversion or impoundment of the natural flow of surface water as necessary to mitigate the effects of a natural disaster;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remediate an overflow of water caused by a diversion or impoundment of the natural flow of surface water in violation of Subsection (a)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sends notice to the person who is in violation of Subsection (a):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informing the person of the violation; and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requiring the person to remediate the violation not later than the 30th day after the date of receipt of the notice;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receiving notice under Paragraph (A), the person does not remedy the violation in the specified time.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is not liable for damages caused by an action taken pursuant to an order issued under Subsection 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